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938D" w14:textId="6924400B" w:rsidR="00554279" w:rsidRPr="00B4243F" w:rsidRDefault="008A5319" w:rsidP="00B4243F">
      <w:pPr>
        <w:pStyle w:val="Heading1"/>
        <w:jc w:val="center"/>
        <w:rPr>
          <w:rFonts w:ascii="Arial" w:hAnsi="Arial" w:cs="Arial"/>
          <w:b/>
          <w:color w:val="auto"/>
        </w:rPr>
      </w:pPr>
      <w:bookmarkStart w:id="0" w:name="_GoBack"/>
      <w:bookmarkEnd w:id="0"/>
      <w:r>
        <w:rPr>
          <w:rFonts w:ascii="Arial" w:hAnsi="Arial" w:cs="Arial"/>
          <w:b/>
          <w:color w:val="auto"/>
        </w:rPr>
        <w:t>Generic Medicines Working Group (</w:t>
      </w:r>
      <w:r w:rsidR="00554279" w:rsidRPr="00B4243F">
        <w:rPr>
          <w:rFonts w:ascii="Arial" w:hAnsi="Arial" w:cs="Arial"/>
          <w:b/>
          <w:color w:val="auto"/>
        </w:rPr>
        <w:t>GMWG</w:t>
      </w:r>
      <w:r>
        <w:rPr>
          <w:rFonts w:ascii="Arial" w:hAnsi="Arial" w:cs="Arial"/>
          <w:b/>
          <w:color w:val="auto"/>
        </w:rPr>
        <w:t>)</w:t>
      </w:r>
      <w:r w:rsidR="00554279" w:rsidRPr="00B4243F">
        <w:rPr>
          <w:rFonts w:ascii="Arial" w:hAnsi="Arial" w:cs="Arial"/>
          <w:b/>
          <w:color w:val="auto"/>
        </w:rPr>
        <w:t xml:space="preserve"> sub-groups</w:t>
      </w:r>
      <w:r>
        <w:rPr>
          <w:rFonts w:ascii="Arial" w:hAnsi="Arial" w:cs="Arial"/>
          <w:b/>
          <w:color w:val="auto"/>
        </w:rPr>
        <w:t xml:space="preserve"> – work plan</w:t>
      </w:r>
      <w:r w:rsidR="00D16D7F" w:rsidRPr="00B4243F">
        <w:rPr>
          <w:rFonts w:ascii="Arial" w:hAnsi="Arial" w:cs="Arial"/>
          <w:b/>
          <w:color w:val="auto"/>
        </w:rPr>
        <w:t xml:space="preserve"> summary</w:t>
      </w:r>
    </w:p>
    <w:p w14:paraId="39A99800" w14:textId="77777777" w:rsidR="00D16D7F" w:rsidRPr="00257709" w:rsidRDefault="00D16D7F" w:rsidP="00D16D7F">
      <w:pPr>
        <w:ind w:left="-180" w:right="-180"/>
        <w:jc w:val="center"/>
        <w:rPr>
          <w:rFonts w:cs="Arial"/>
          <w:b/>
          <w:sz w:val="28"/>
          <w:szCs w:val="28"/>
        </w:rPr>
      </w:pPr>
    </w:p>
    <w:p w14:paraId="5AD00DC3" w14:textId="696B2313" w:rsidR="00EF2547" w:rsidRPr="007943A4" w:rsidRDefault="00150244" w:rsidP="00D16D7F">
      <w:pPr>
        <w:ind w:left="-180" w:right="-180"/>
        <w:rPr>
          <w:rFonts w:cs="Arial"/>
          <w:b/>
          <w:sz w:val="24"/>
          <w:szCs w:val="24"/>
        </w:rPr>
      </w:pPr>
      <w:r w:rsidRPr="007943A4">
        <w:rPr>
          <w:rFonts w:cs="Arial"/>
          <w:b/>
          <w:sz w:val="24"/>
          <w:szCs w:val="24"/>
        </w:rPr>
        <w:t>Pricing Policy, Supply and Viability</w:t>
      </w:r>
    </w:p>
    <w:p w14:paraId="20FD6617" w14:textId="5E50A7F1" w:rsidR="0023588F" w:rsidRPr="0023588F" w:rsidRDefault="0023588F" w:rsidP="00D16D7F">
      <w:pPr>
        <w:ind w:left="-180" w:right="-180"/>
        <w:rPr>
          <w:rFonts w:cs="Arial"/>
          <w:szCs w:val="20"/>
        </w:rPr>
      </w:pPr>
      <w:r>
        <w:rPr>
          <w:rFonts w:cs="Arial"/>
          <w:szCs w:val="20"/>
        </w:rPr>
        <w:t>This sub-group will be led by GBMA.</w:t>
      </w:r>
    </w:p>
    <w:p w14:paraId="13DB8791" w14:textId="77777777" w:rsidR="00C55FD7" w:rsidRDefault="00C55FD7" w:rsidP="00D16D7F">
      <w:pPr>
        <w:ind w:left="-180" w:right="-180"/>
        <w:rPr>
          <w:rFonts w:cs="Arial"/>
          <w:szCs w:val="20"/>
        </w:rPr>
      </w:pPr>
    </w:p>
    <w:p w14:paraId="6AEE9CF8" w14:textId="77777777" w:rsidR="00E571BC" w:rsidRDefault="002E5F43" w:rsidP="00E571BC">
      <w:pPr>
        <w:ind w:left="-180" w:right="-180"/>
        <w:rPr>
          <w:szCs w:val="24"/>
        </w:rPr>
      </w:pPr>
      <w:r>
        <w:rPr>
          <w:szCs w:val="24"/>
        </w:rPr>
        <w:t xml:space="preserve">The </w:t>
      </w:r>
      <w:r w:rsidR="0023588F">
        <w:rPr>
          <w:szCs w:val="24"/>
        </w:rPr>
        <w:t>Pricing Policy, Supply and Viability</w:t>
      </w:r>
      <w:r>
        <w:rPr>
          <w:szCs w:val="24"/>
        </w:rPr>
        <w:t xml:space="preserve"> sub-group will gather </w:t>
      </w:r>
      <w:r w:rsidR="00860543">
        <w:rPr>
          <w:szCs w:val="24"/>
        </w:rPr>
        <w:t xml:space="preserve">information </w:t>
      </w:r>
      <w:r>
        <w:rPr>
          <w:szCs w:val="24"/>
        </w:rPr>
        <w:t xml:space="preserve">from both industry and Government to consider the impact of </w:t>
      </w:r>
      <w:r w:rsidR="00B37225">
        <w:rPr>
          <w:szCs w:val="24"/>
        </w:rPr>
        <w:t xml:space="preserve">pricing policy and </w:t>
      </w:r>
      <w:r>
        <w:rPr>
          <w:szCs w:val="24"/>
        </w:rPr>
        <w:t>commercial decisions that may lead to issues with the supply of important medicines</w:t>
      </w:r>
      <w:r w:rsidR="00B37225">
        <w:rPr>
          <w:szCs w:val="24"/>
        </w:rPr>
        <w:t xml:space="preserve"> and may impact the viability o</w:t>
      </w:r>
      <w:r w:rsidR="00E571BC">
        <w:rPr>
          <w:szCs w:val="24"/>
        </w:rPr>
        <w:t>f the generic medicines sector.</w:t>
      </w:r>
    </w:p>
    <w:p w14:paraId="716C25B3" w14:textId="77777777" w:rsidR="00B35A86" w:rsidRDefault="00B35A86" w:rsidP="00E571BC">
      <w:pPr>
        <w:ind w:left="-180" w:right="-180"/>
        <w:rPr>
          <w:szCs w:val="24"/>
        </w:rPr>
      </w:pPr>
    </w:p>
    <w:p w14:paraId="4D474141" w14:textId="5F08D03A" w:rsidR="001516C4" w:rsidRPr="00E571BC" w:rsidRDefault="001516C4" w:rsidP="00E571BC">
      <w:pPr>
        <w:ind w:left="-180" w:right="-180"/>
        <w:rPr>
          <w:szCs w:val="24"/>
        </w:rPr>
      </w:pPr>
      <w:r>
        <w:rPr>
          <w:rFonts w:cs="Arial"/>
          <w:szCs w:val="20"/>
        </w:rPr>
        <w:t>The subgroup</w:t>
      </w:r>
      <w:r w:rsidR="0023588F">
        <w:rPr>
          <w:rFonts w:cs="Arial"/>
          <w:szCs w:val="20"/>
        </w:rPr>
        <w:t xml:space="preserve"> is focused on concerns at </w:t>
      </w:r>
      <w:r w:rsidR="005B31E1">
        <w:rPr>
          <w:rFonts w:cs="Arial"/>
          <w:szCs w:val="20"/>
        </w:rPr>
        <w:t>the industry level, more than company-specific concerns</w:t>
      </w:r>
      <w:r w:rsidR="0023588F">
        <w:rPr>
          <w:rFonts w:cs="Arial"/>
          <w:szCs w:val="20"/>
        </w:rPr>
        <w:t>, and</w:t>
      </w:r>
      <w:r>
        <w:rPr>
          <w:rFonts w:cs="Arial"/>
          <w:szCs w:val="20"/>
        </w:rPr>
        <w:t xml:space="preserve"> </w:t>
      </w:r>
      <w:r w:rsidR="00150244">
        <w:rPr>
          <w:rFonts w:cs="Arial"/>
          <w:szCs w:val="20"/>
        </w:rPr>
        <w:t>may</w:t>
      </w:r>
      <w:r w:rsidR="0023588F">
        <w:rPr>
          <w:rFonts w:cs="Arial"/>
          <w:szCs w:val="20"/>
        </w:rPr>
        <w:t xml:space="preserve"> collect and analyse relevant data provided by </w:t>
      </w:r>
      <w:r w:rsidR="005B31E1">
        <w:rPr>
          <w:rFonts w:cs="Arial"/>
          <w:szCs w:val="20"/>
        </w:rPr>
        <w:t xml:space="preserve">industry </w:t>
      </w:r>
      <w:r w:rsidR="0023588F">
        <w:rPr>
          <w:rFonts w:cs="Arial"/>
          <w:szCs w:val="20"/>
        </w:rPr>
        <w:t>members</w:t>
      </w:r>
      <w:r w:rsidR="005A004F">
        <w:rPr>
          <w:rFonts w:cs="Arial"/>
          <w:szCs w:val="20"/>
        </w:rPr>
        <w:t xml:space="preserve">.  </w:t>
      </w:r>
      <w:r w:rsidR="005A004F">
        <w:rPr>
          <w:szCs w:val="24"/>
        </w:rPr>
        <w:t xml:space="preserve">The subgroup will undertake this work with reference to the central objectives of the </w:t>
      </w:r>
      <w:r w:rsidR="005A004F" w:rsidRPr="00F63FE9">
        <w:rPr>
          <w:szCs w:val="24"/>
        </w:rPr>
        <w:t>National Medicines Policy</w:t>
      </w:r>
      <w:r w:rsidR="005A004F">
        <w:rPr>
          <w:szCs w:val="24"/>
        </w:rPr>
        <w:t>.</w:t>
      </w:r>
    </w:p>
    <w:p w14:paraId="439792C4" w14:textId="77777777" w:rsidR="002F14DB" w:rsidRDefault="002F14DB" w:rsidP="00D16D7F">
      <w:pPr>
        <w:pStyle w:val="ListParagraph"/>
        <w:ind w:left="-180" w:right="-180"/>
      </w:pPr>
    </w:p>
    <w:p w14:paraId="4D6D74FC" w14:textId="20711B15" w:rsidR="0082465D" w:rsidRPr="007943A4" w:rsidRDefault="0082465D" w:rsidP="00D16D7F">
      <w:pPr>
        <w:ind w:left="-180" w:right="-180"/>
        <w:rPr>
          <w:rFonts w:cs="Arial"/>
          <w:b/>
          <w:sz w:val="24"/>
          <w:szCs w:val="24"/>
        </w:rPr>
      </w:pPr>
      <w:r w:rsidRPr="007943A4">
        <w:rPr>
          <w:rFonts w:cs="Arial"/>
          <w:b/>
          <w:sz w:val="24"/>
          <w:szCs w:val="24"/>
        </w:rPr>
        <w:t>Uptake Drivers</w:t>
      </w:r>
      <w:r w:rsidR="0077411E" w:rsidRPr="007943A4">
        <w:rPr>
          <w:rFonts w:cs="Arial"/>
          <w:b/>
          <w:sz w:val="24"/>
          <w:szCs w:val="24"/>
        </w:rPr>
        <w:t xml:space="preserve"> for Generic and Biosimilar Medicines</w:t>
      </w:r>
    </w:p>
    <w:p w14:paraId="45BA9C67" w14:textId="04C1A74C" w:rsidR="0023588F" w:rsidRPr="0023588F" w:rsidRDefault="0023588F" w:rsidP="00D16D7F">
      <w:pPr>
        <w:ind w:left="-180" w:right="-180"/>
        <w:rPr>
          <w:rFonts w:cs="Arial"/>
          <w:szCs w:val="20"/>
        </w:rPr>
      </w:pPr>
      <w:r>
        <w:rPr>
          <w:rFonts w:cs="Arial"/>
          <w:szCs w:val="20"/>
        </w:rPr>
        <w:t>This sub-group will be led by GBMA.</w:t>
      </w:r>
    </w:p>
    <w:p w14:paraId="2FCAA176" w14:textId="77777777" w:rsidR="00031E13" w:rsidRDefault="00031E13" w:rsidP="00D16D7F">
      <w:pPr>
        <w:ind w:left="-180" w:right="-180"/>
        <w:rPr>
          <w:rFonts w:cs="Arial"/>
          <w:szCs w:val="20"/>
        </w:rPr>
      </w:pPr>
    </w:p>
    <w:p w14:paraId="568B638F" w14:textId="53FDABA0" w:rsidR="00C07C0B" w:rsidRDefault="0023588F" w:rsidP="00E571BC">
      <w:pPr>
        <w:ind w:left="-180" w:right="-180"/>
        <w:rPr>
          <w:rFonts w:cs="Arial"/>
          <w:szCs w:val="20"/>
        </w:rPr>
      </w:pPr>
      <w:r>
        <w:rPr>
          <w:rFonts w:cs="Arial"/>
          <w:szCs w:val="20"/>
        </w:rPr>
        <w:t>The Uptake Drivers sub-group will investigate the uptake of both generic small molecule and biosimilar medicines</w:t>
      </w:r>
      <w:r w:rsidR="005B31E1">
        <w:rPr>
          <w:rFonts w:cs="Arial"/>
          <w:szCs w:val="20"/>
        </w:rPr>
        <w:t xml:space="preserve"> in Australia</w:t>
      </w:r>
      <w:r>
        <w:rPr>
          <w:rFonts w:cs="Arial"/>
          <w:szCs w:val="20"/>
        </w:rPr>
        <w:t>.</w:t>
      </w:r>
      <w:r w:rsidR="007943A4">
        <w:rPr>
          <w:rFonts w:cs="Arial"/>
          <w:szCs w:val="20"/>
        </w:rPr>
        <w:t xml:space="preserve">  The group will gather and analyse data to fully understand the Australian system, consider advice from GBMA members on perceived barriers to uptake in Australia, as well as considering approaches used in comparable overseas markets.  Based on these investig</w:t>
      </w:r>
      <w:r w:rsidR="009E0F09">
        <w:rPr>
          <w:rFonts w:cs="Arial"/>
          <w:szCs w:val="20"/>
        </w:rPr>
        <w:t xml:space="preserve">ations, the </w:t>
      </w:r>
      <w:r w:rsidR="007943A4">
        <w:rPr>
          <w:rFonts w:cs="Arial"/>
          <w:szCs w:val="20"/>
        </w:rPr>
        <w:t xml:space="preserve">sub-group </w:t>
      </w:r>
      <w:r w:rsidR="00E06B67">
        <w:rPr>
          <w:rFonts w:cs="Arial"/>
          <w:szCs w:val="20"/>
        </w:rPr>
        <w:t>will</w:t>
      </w:r>
      <w:r w:rsidR="007943A4">
        <w:rPr>
          <w:rFonts w:cs="Arial"/>
          <w:szCs w:val="20"/>
        </w:rPr>
        <w:t xml:space="preserve"> </w:t>
      </w:r>
      <w:r w:rsidR="00E06B67">
        <w:rPr>
          <w:rFonts w:cs="Arial"/>
          <w:szCs w:val="20"/>
        </w:rPr>
        <w:t>discuss possible approaches to address these barriers, for consideration by GMWG</w:t>
      </w:r>
      <w:r w:rsidR="007943A4">
        <w:rPr>
          <w:rFonts w:cs="Arial"/>
          <w:szCs w:val="20"/>
        </w:rPr>
        <w:t>.</w:t>
      </w:r>
    </w:p>
    <w:p w14:paraId="45ADF42A" w14:textId="77777777" w:rsidR="00E571BC" w:rsidRDefault="00E571BC" w:rsidP="00E571BC">
      <w:pPr>
        <w:ind w:left="-180" w:right="-180"/>
        <w:rPr>
          <w:rFonts w:cs="Arial"/>
          <w:szCs w:val="20"/>
        </w:rPr>
      </w:pPr>
    </w:p>
    <w:p w14:paraId="3CABE30B" w14:textId="06322134" w:rsidR="0082465D" w:rsidRPr="007943A4" w:rsidRDefault="0082465D" w:rsidP="00D16D7F">
      <w:pPr>
        <w:ind w:left="-180" w:right="-180"/>
        <w:rPr>
          <w:rFonts w:cs="Arial"/>
          <w:b/>
          <w:sz w:val="24"/>
          <w:szCs w:val="24"/>
        </w:rPr>
      </w:pPr>
      <w:r w:rsidRPr="007943A4">
        <w:rPr>
          <w:rFonts w:cs="Arial"/>
          <w:b/>
          <w:sz w:val="24"/>
          <w:szCs w:val="24"/>
        </w:rPr>
        <w:t>Biosimilar Policy</w:t>
      </w:r>
    </w:p>
    <w:p w14:paraId="528036C0" w14:textId="77777777" w:rsidR="0023588F" w:rsidRPr="0023588F" w:rsidRDefault="0023588F" w:rsidP="00D16D7F">
      <w:pPr>
        <w:ind w:left="-180" w:right="-180"/>
        <w:rPr>
          <w:rFonts w:cs="Arial"/>
          <w:szCs w:val="20"/>
        </w:rPr>
      </w:pPr>
      <w:r>
        <w:rPr>
          <w:rFonts w:cs="Arial"/>
          <w:szCs w:val="20"/>
        </w:rPr>
        <w:t>This sub-group will be led by the Department of Health.</w:t>
      </w:r>
    </w:p>
    <w:p w14:paraId="12FE2D34" w14:textId="77777777" w:rsidR="007943A4" w:rsidRDefault="007943A4" w:rsidP="00D16D7F">
      <w:pPr>
        <w:ind w:left="-180" w:right="-180"/>
        <w:rPr>
          <w:rFonts w:cs="Arial"/>
          <w:szCs w:val="20"/>
        </w:rPr>
      </w:pPr>
    </w:p>
    <w:p w14:paraId="38D64215" w14:textId="214BE39F" w:rsidR="007943A4" w:rsidRDefault="007943A4" w:rsidP="00D16D7F">
      <w:pPr>
        <w:ind w:left="-180" w:right="-180"/>
        <w:rPr>
          <w:rFonts w:cs="Arial"/>
          <w:szCs w:val="20"/>
        </w:rPr>
      </w:pPr>
      <w:r>
        <w:rPr>
          <w:rFonts w:cs="Arial"/>
          <w:szCs w:val="20"/>
        </w:rPr>
        <w:t>The sub-group will look into ways to support</w:t>
      </w:r>
      <w:r w:rsidR="005B31E1">
        <w:rPr>
          <w:rFonts w:cs="Arial"/>
          <w:szCs w:val="20"/>
        </w:rPr>
        <w:t xml:space="preserve"> the awareness and uptake of biosimilar medicines</w:t>
      </w:r>
      <w:r>
        <w:rPr>
          <w:rFonts w:cs="Arial"/>
          <w:szCs w:val="20"/>
        </w:rPr>
        <w:t xml:space="preserve"> in Australia.  The group will identify and devise practical ways to </w:t>
      </w:r>
      <w:r w:rsidR="005B31E1">
        <w:rPr>
          <w:rFonts w:cs="Arial"/>
          <w:szCs w:val="20"/>
        </w:rPr>
        <w:t>do this</w:t>
      </w:r>
      <w:r>
        <w:rPr>
          <w:rFonts w:cs="Arial"/>
          <w:szCs w:val="20"/>
        </w:rPr>
        <w:t>, including through research on international practice.  The sub-group may identify current and future barriers for market entry for biosimilar medicines,</w:t>
      </w:r>
      <w:r w:rsidR="005B31E1">
        <w:rPr>
          <w:rFonts w:cs="Arial"/>
          <w:szCs w:val="20"/>
        </w:rPr>
        <w:t xml:space="preserve"> and discuss possible approaches</w:t>
      </w:r>
      <w:r>
        <w:rPr>
          <w:rFonts w:cs="Arial"/>
          <w:szCs w:val="20"/>
        </w:rPr>
        <w:t xml:space="preserve"> to overcome these barriers, for consideration by GMWG. </w:t>
      </w:r>
    </w:p>
    <w:p w14:paraId="5A216045" w14:textId="77777777" w:rsidR="007943A4" w:rsidRDefault="007943A4" w:rsidP="00D16D7F">
      <w:pPr>
        <w:ind w:left="-180" w:right="-180"/>
        <w:rPr>
          <w:rFonts w:cs="Arial"/>
          <w:szCs w:val="20"/>
        </w:rPr>
      </w:pPr>
    </w:p>
    <w:p w14:paraId="18D365D0" w14:textId="6A6EF16C" w:rsidR="00E8215E" w:rsidRDefault="009E0F09" w:rsidP="00D16D7F">
      <w:pPr>
        <w:ind w:left="-180" w:right="-180"/>
        <w:rPr>
          <w:rFonts w:cs="Arial"/>
          <w:szCs w:val="20"/>
        </w:rPr>
      </w:pPr>
      <w:r>
        <w:rPr>
          <w:rFonts w:cs="Arial"/>
          <w:szCs w:val="20"/>
        </w:rPr>
        <w:t xml:space="preserve">The work will occur alongside the </w:t>
      </w:r>
      <w:r w:rsidR="00B35A86">
        <w:rPr>
          <w:rFonts w:cs="Arial"/>
          <w:szCs w:val="20"/>
        </w:rPr>
        <w:t>Govern</w:t>
      </w:r>
      <w:r>
        <w:rPr>
          <w:rFonts w:cs="Arial"/>
          <w:szCs w:val="20"/>
        </w:rPr>
        <w:t>ment’s Biosimilar Awareness Initiative</w:t>
      </w:r>
      <w:r w:rsidR="007943A4">
        <w:rPr>
          <w:rFonts w:cs="Arial"/>
          <w:szCs w:val="20"/>
        </w:rPr>
        <w:t>.</w:t>
      </w:r>
    </w:p>
    <w:p w14:paraId="7AAFE340" w14:textId="77777777" w:rsidR="00E571BC" w:rsidRDefault="00E571BC" w:rsidP="00D16D7F">
      <w:pPr>
        <w:ind w:left="-180" w:right="-180"/>
        <w:rPr>
          <w:rFonts w:cs="Arial"/>
          <w:b/>
          <w:szCs w:val="20"/>
        </w:rPr>
      </w:pPr>
    </w:p>
    <w:p w14:paraId="367B8068" w14:textId="65F557A8" w:rsidR="007538BE" w:rsidRPr="007943A4" w:rsidRDefault="00BB1709" w:rsidP="00D16D7F">
      <w:pPr>
        <w:ind w:left="-180" w:right="-180"/>
        <w:rPr>
          <w:rFonts w:cs="Arial"/>
          <w:b/>
          <w:sz w:val="24"/>
          <w:szCs w:val="24"/>
        </w:rPr>
      </w:pPr>
      <w:r w:rsidRPr="007943A4">
        <w:rPr>
          <w:rFonts w:cs="Arial"/>
          <w:b/>
          <w:sz w:val="24"/>
          <w:szCs w:val="24"/>
        </w:rPr>
        <w:t>Transparency</w:t>
      </w:r>
    </w:p>
    <w:p w14:paraId="37599BAE" w14:textId="018C4C00" w:rsidR="0023588F" w:rsidRPr="0023588F" w:rsidRDefault="0023588F" w:rsidP="00D16D7F">
      <w:pPr>
        <w:ind w:left="-180" w:right="-180"/>
        <w:rPr>
          <w:rFonts w:cs="Arial"/>
          <w:szCs w:val="20"/>
        </w:rPr>
      </w:pPr>
      <w:r>
        <w:rPr>
          <w:rFonts w:cs="Arial"/>
          <w:szCs w:val="20"/>
        </w:rPr>
        <w:t>This sub-group will be led by the Department of Health.</w:t>
      </w:r>
    </w:p>
    <w:p w14:paraId="3AF9F038" w14:textId="57C1AD76" w:rsidR="007538BE" w:rsidRDefault="007538BE" w:rsidP="00D16D7F">
      <w:pPr>
        <w:ind w:left="-180" w:right="-180"/>
        <w:rPr>
          <w:lang w:val="en-AU"/>
        </w:rPr>
      </w:pPr>
    </w:p>
    <w:p w14:paraId="1882B52B" w14:textId="77777777" w:rsidR="00D16D7F" w:rsidRDefault="00257709" w:rsidP="00D16D7F">
      <w:pPr>
        <w:ind w:left="-180" w:right="-180"/>
        <w:rPr>
          <w:lang w:val="en-AU"/>
        </w:rPr>
      </w:pPr>
      <w:r>
        <w:rPr>
          <w:lang w:val="en-AU"/>
        </w:rPr>
        <w:t>The sub-group will investigate ways to increase the transparency of PBS processes, including ways to increase the information available to all stakeholders, with a particular focus on information for consumers.  The work will give consideration to transparency activities in other jurisdictions, and the group may consider options such as developing guidelines for redaction/release of clinical evidence contained in submissions, considering the information that is released by Government regarding listing decisions, and developing processes to improve consumer engagement regarding the consideration of submissions.</w:t>
      </w:r>
      <w:r w:rsidR="00D16D7F">
        <w:rPr>
          <w:lang w:val="en-AU"/>
        </w:rPr>
        <w:t xml:space="preserve"> </w:t>
      </w:r>
    </w:p>
    <w:p w14:paraId="46BB5E9C" w14:textId="77777777" w:rsidR="00D16D7F" w:rsidRDefault="00D16D7F" w:rsidP="00D16D7F">
      <w:pPr>
        <w:ind w:left="-180" w:right="-180"/>
        <w:rPr>
          <w:szCs w:val="24"/>
        </w:rPr>
      </w:pPr>
    </w:p>
    <w:p w14:paraId="5125217E" w14:textId="596ADC1C" w:rsidR="00D16D7F" w:rsidRPr="00235501" w:rsidRDefault="00D16D7F" w:rsidP="00D16D7F">
      <w:pPr>
        <w:ind w:left="-180" w:right="-180"/>
        <w:rPr>
          <w:szCs w:val="24"/>
        </w:rPr>
      </w:pPr>
      <w:r>
        <w:rPr>
          <w:szCs w:val="24"/>
        </w:rPr>
        <w:t>Any potential initiatives</w:t>
      </w:r>
      <w:r w:rsidRPr="00235501">
        <w:rPr>
          <w:szCs w:val="24"/>
        </w:rPr>
        <w:t xml:space="preserve"> would need to be developed into an actionable plan</w:t>
      </w:r>
      <w:r>
        <w:rPr>
          <w:szCs w:val="24"/>
        </w:rPr>
        <w:t xml:space="preserve"> for consideration by the GMWG, with proposed implementation</w:t>
      </w:r>
      <w:r w:rsidRPr="00235501">
        <w:rPr>
          <w:szCs w:val="24"/>
        </w:rPr>
        <w:t xml:space="preserve"> </w:t>
      </w:r>
      <w:r>
        <w:rPr>
          <w:szCs w:val="24"/>
        </w:rPr>
        <w:t xml:space="preserve">in </w:t>
      </w:r>
      <w:r w:rsidRPr="00235501">
        <w:rPr>
          <w:szCs w:val="24"/>
        </w:rPr>
        <w:t>collaborati</w:t>
      </w:r>
      <w:r>
        <w:rPr>
          <w:szCs w:val="24"/>
        </w:rPr>
        <w:t>o</w:t>
      </w:r>
      <w:r w:rsidRPr="00235501">
        <w:rPr>
          <w:szCs w:val="24"/>
        </w:rPr>
        <w:t xml:space="preserve">n with relevant stakeholders </w:t>
      </w:r>
      <w:r>
        <w:rPr>
          <w:szCs w:val="24"/>
        </w:rPr>
        <w:t>considered</w:t>
      </w:r>
      <w:r w:rsidRPr="00235501">
        <w:rPr>
          <w:szCs w:val="24"/>
        </w:rPr>
        <w:t>.</w:t>
      </w:r>
    </w:p>
    <w:p w14:paraId="6B0EA682" w14:textId="77777777" w:rsidR="00257709" w:rsidRDefault="00257709" w:rsidP="00D16D7F">
      <w:pPr>
        <w:ind w:left="-180" w:right="-180"/>
        <w:rPr>
          <w:lang w:val="en-AU"/>
        </w:rPr>
      </w:pPr>
    </w:p>
    <w:p w14:paraId="7100B336" w14:textId="1802406D" w:rsidR="00235501" w:rsidRPr="00235501" w:rsidRDefault="00257709" w:rsidP="00D16D7F">
      <w:pPr>
        <w:ind w:left="-180" w:right="-180"/>
        <w:rPr>
          <w:szCs w:val="24"/>
        </w:rPr>
      </w:pPr>
      <w:r>
        <w:rPr>
          <w:lang w:val="en-AU"/>
        </w:rPr>
        <w:t>This will complement the work being undertaken by the Access to Medicines Working Group sub-group, but t</w:t>
      </w:r>
      <w:r>
        <w:rPr>
          <w:szCs w:val="24"/>
        </w:rPr>
        <w:t xml:space="preserve">here will be a focus on the potential for information and evidence around biosimilar medicines to improve public confidence and knowledge around biosimilar medicines. </w:t>
      </w:r>
    </w:p>
    <w:sectPr w:rsidR="00235501" w:rsidRPr="00235501" w:rsidSect="00BC7393">
      <w:headerReference w:type="even" r:id="rId9"/>
      <w:headerReference w:type="default" r:id="rId10"/>
      <w:footerReference w:type="even" r:id="rId11"/>
      <w:footerReference w:type="default" r:id="rId12"/>
      <w:headerReference w:type="first" r:id="rId13"/>
      <w:footerReference w:type="first" r:id="rId14"/>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FAA16" w14:textId="77777777" w:rsidR="00D02019" w:rsidRDefault="00D02019" w:rsidP="0082465D">
      <w:r>
        <w:separator/>
      </w:r>
    </w:p>
  </w:endnote>
  <w:endnote w:type="continuationSeparator" w:id="0">
    <w:p w14:paraId="32717992" w14:textId="77777777" w:rsidR="00D02019" w:rsidRDefault="00D02019" w:rsidP="0082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D5B6" w14:textId="77777777" w:rsidR="00995B67" w:rsidRDefault="00995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B9A80" w14:textId="73FD982F" w:rsidR="0082465D" w:rsidRDefault="0082465D">
    <w:pPr>
      <w:pStyle w:val="Footer"/>
      <w:jc w:val="right"/>
    </w:pPr>
  </w:p>
  <w:p w14:paraId="6C3928F1" w14:textId="77777777" w:rsidR="0082465D" w:rsidRDefault="00824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1738" w14:textId="77777777" w:rsidR="00995B67" w:rsidRDefault="00995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3D8E0" w14:textId="77777777" w:rsidR="00D02019" w:rsidRDefault="00D02019" w:rsidP="0082465D">
      <w:r>
        <w:separator/>
      </w:r>
    </w:p>
  </w:footnote>
  <w:footnote w:type="continuationSeparator" w:id="0">
    <w:p w14:paraId="0FB02B62" w14:textId="77777777" w:rsidR="00D02019" w:rsidRDefault="00D02019" w:rsidP="0082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8AE03" w14:textId="77777777" w:rsidR="00995B67" w:rsidRDefault="00995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21D8" w14:textId="0523DE5A" w:rsidR="00995B67" w:rsidRDefault="00995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5CC9" w14:textId="77777777" w:rsidR="00995B67" w:rsidRDefault="00995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2C9030"/>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sz w:val="20"/>
        <w:szCs w:val="20"/>
      </w:rPr>
    </w:lvl>
    <w:lvl w:ilvl="2">
      <w:start w:val="1"/>
      <w:numFmt w:val="decimal"/>
      <w:lvlText w:val="%1.%2.%3"/>
      <w:lvlJc w:val="left"/>
      <w:pPr>
        <w:ind w:left="1701" w:hanging="850"/>
      </w:pPr>
      <w:rPr>
        <w:rFonts w:ascii="Arial" w:hAnsi="Arial"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25E7150"/>
    <w:multiLevelType w:val="multilevel"/>
    <w:tmpl w:val="B42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657D9"/>
    <w:multiLevelType w:val="hybridMultilevel"/>
    <w:tmpl w:val="E21C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C6265"/>
    <w:multiLevelType w:val="hybridMultilevel"/>
    <w:tmpl w:val="205CC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205AA"/>
    <w:multiLevelType w:val="hybridMultilevel"/>
    <w:tmpl w:val="F9C0F0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6A337A"/>
    <w:multiLevelType w:val="hybridMultilevel"/>
    <w:tmpl w:val="9E94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E3295C"/>
    <w:multiLevelType w:val="hybridMultilevel"/>
    <w:tmpl w:val="F148D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1B661D"/>
    <w:multiLevelType w:val="hybridMultilevel"/>
    <w:tmpl w:val="54C43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E8E1E67"/>
    <w:multiLevelType w:val="hybridMultilevel"/>
    <w:tmpl w:val="2F3464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1D66F13"/>
    <w:multiLevelType w:val="hybridMultilevel"/>
    <w:tmpl w:val="D5FE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325749"/>
    <w:multiLevelType w:val="multilevel"/>
    <w:tmpl w:val="6F5476BC"/>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056132"/>
    <w:multiLevelType w:val="hybridMultilevel"/>
    <w:tmpl w:val="1870C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3F54D6"/>
    <w:multiLevelType w:val="multilevel"/>
    <w:tmpl w:val="D8CA5EE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D22B99"/>
    <w:multiLevelType w:val="multilevel"/>
    <w:tmpl w:val="9CF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9669E0"/>
    <w:multiLevelType w:val="multilevel"/>
    <w:tmpl w:val="EDD6EB1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F734E8"/>
    <w:multiLevelType w:val="multilevel"/>
    <w:tmpl w:val="EF6EF93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AE476C"/>
    <w:multiLevelType w:val="hybridMultilevel"/>
    <w:tmpl w:val="5FB8A1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823A8"/>
    <w:multiLevelType w:val="hybridMultilevel"/>
    <w:tmpl w:val="15A24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F9E0578"/>
    <w:multiLevelType w:val="hybridMultilevel"/>
    <w:tmpl w:val="0CA8CE86"/>
    <w:lvl w:ilvl="0" w:tplc="E07C717E">
      <w:start w:val="1"/>
      <w:numFmt w:val="bullet"/>
      <w:lvlText w:val="•"/>
      <w:lvlJc w:val="left"/>
      <w:pPr>
        <w:tabs>
          <w:tab w:val="num" w:pos="360"/>
        </w:tabs>
        <w:ind w:left="360" w:hanging="360"/>
      </w:pPr>
      <w:rPr>
        <w:rFonts w:ascii="Arial" w:hAnsi="Aria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A5002C"/>
    <w:multiLevelType w:val="hybridMultilevel"/>
    <w:tmpl w:val="F89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96A6C"/>
    <w:multiLevelType w:val="hybridMultilevel"/>
    <w:tmpl w:val="21DC7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9C6F65"/>
    <w:multiLevelType w:val="hybridMultilevel"/>
    <w:tmpl w:val="65B66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D581519"/>
    <w:multiLevelType w:val="hybridMultilevel"/>
    <w:tmpl w:val="2DEE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61505E"/>
    <w:multiLevelType w:val="hybridMultilevel"/>
    <w:tmpl w:val="295ADA88"/>
    <w:lvl w:ilvl="0" w:tplc="3C78477C">
      <w:start w:val="1"/>
      <w:numFmt w:val="bullet"/>
      <w:lvlText w:val="•"/>
      <w:lvlJc w:val="left"/>
      <w:pPr>
        <w:tabs>
          <w:tab w:val="num" w:pos="360"/>
        </w:tabs>
        <w:ind w:left="360" w:hanging="360"/>
      </w:pPr>
      <w:rPr>
        <w:rFonts w:ascii="Arial" w:hAnsi="Arial" w:cs="Times New Roman" w:hint="default"/>
      </w:rPr>
    </w:lvl>
    <w:lvl w:ilvl="1" w:tplc="F72881C2">
      <w:start w:val="1"/>
      <w:numFmt w:val="bullet"/>
      <w:lvlText w:val="•"/>
      <w:lvlJc w:val="left"/>
      <w:pPr>
        <w:tabs>
          <w:tab w:val="num" w:pos="1080"/>
        </w:tabs>
        <w:ind w:left="1080" w:hanging="360"/>
      </w:pPr>
      <w:rPr>
        <w:rFonts w:ascii="Arial" w:hAnsi="Arial" w:cs="Times New Roman" w:hint="default"/>
      </w:rPr>
    </w:lvl>
    <w:lvl w:ilvl="2" w:tplc="6068D406">
      <w:start w:val="1"/>
      <w:numFmt w:val="bullet"/>
      <w:lvlText w:val="•"/>
      <w:lvlJc w:val="left"/>
      <w:pPr>
        <w:tabs>
          <w:tab w:val="num" w:pos="1800"/>
        </w:tabs>
        <w:ind w:left="1800" w:hanging="360"/>
      </w:pPr>
      <w:rPr>
        <w:rFonts w:ascii="Arial" w:hAnsi="Arial" w:cs="Times New Roman" w:hint="default"/>
      </w:rPr>
    </w:lvl>
    <w:lvl w:ilvl="3" w:tplc="A3DA5A96">
      <w:start w:val="1"/>
      <w:numFmt w:val="bullet"/>
      <w:lvlText w:val="•"/>
      <w:lvlJc w:val="left"/>
      <w:pPr>
        <w:tabs>
          <w:tab w:val="num" w:pos="2520"/>
        </w:tabs>
        <w:ind w:left="2520" w:hanging="360"/>
      </w:pPr>
      <w:rPr>
        <w:rFonts w:ascii="Arial" w:hAnsi="Arial" w:cs="Times New Roman" w:hint="default"/>
      </w:rPr>
    </w:lvl>
    <w:lvl w:ilvl="4" w:tplc="B99E9BAC">
      <w:start w:val="1"/>
      <w:numFmt w:val="bullet"/>
      <w:lvlText w:val="•"/>
      <w:lvlJc w:val="left"/>
      <w:pPr>
        <w:tabs>
          <w:tab w:val="num" w:pos="3240"/>
        </w:tabs>
        <w:ind w:left="3240" w:hanging="360"/>
      </w:pPr>
      <w:rPr>
        <w:rFonts w:ascii="Arial" w:hAnsi="Arial" w:cs="Times New Roman" w:hint="default"/>
      </w:rPr>
    </w:lvl>
    <w:lvl w:ilvl="5" w:tplc="9C26F10C">
      <w:start w:val="1"/>
      <w:numFmt w:val="bullet"/>
      <w:lvlText w:val="•"/>
      <w:lvlJc w:val="left"/>
      <w:pPr>
        <w:tabs>
          <w:tab w:val="num" w:pos="3960"/>
        </w:tabs>
        <w:ind w:left="3960" w:hanging="360"/>
      </w:pPr>
      <w:rPr>
        <w:rFonts w:ascii="Arial" w:hAnsi="Arial" w:cs="Times New Roman" w:hint="default"/>
      </w:rPr>
    </w:lvl>
    <w:lvl w:ilvl="6" w:tplc="E04E9B0E">
      <w:start w:val="1"/>
      <w:numFmt w:val="bullet"/>
      <w:lvlText w:val="•"/>
      <w:lvlJc w:val="left"/>
      <w:pPr>
        <w:tabs>
          <w:tab w:val="num" w:pos="4680"/>
        </w:tabs>
        <w:ind w:left="4680" w:hanging="360"/>
      </w:pPr>
      <w:rPr>
        <w:rFonts w:ascii="Arial" w:hAnsi="Arial" w:cs="Times New Roman" w:hint="default"/>
      </w:rPr>
    </w:lvl>
    <w:lvl w:ilvl="7" w:tplc="E02A3790">
      <w:start w:val="1"/>
      <w:numFmt w:val="bullet"/>
      <w:lvlText w:val="•"/>
      <w:lvlJc w:val="left"/>
      <w:pPr>
        <w:tabs>
          <w:tab w:val="num" w:pos="5400"/>
        </w:tabs>
        <w:ind w:left="5400" w:hanging="360"/>
      </w:pPr>
      <w:rPr>
        <w:rFonts w:ascii="Arial" w:hAnsi="Arial" w:cs="Times New Roman" w:hint="default"/>
      </w:rPr>
    </w:lvl>
    <w:lvl w:ilvl="8" w:tplc="E3920ECC">
      <w:start w:val="1"/>
      <w:numFmt w:val="bullet"/>
      <w:lvlText w:val="•"/>
      <w:lvlJc w:val="left"/>
      <w:pPr>
        <w:tabs>
          <w:tab w:val="num" w:pos="6120"/>
        </w:tabs>
        <w:ind w:left="6120" w:hanging="360"/>
      </w:pPr>
      <w:rPr>
        <w:rFonts w:ascii="Arial" w:hAnsi="Arial" w:cs="Times New Roman" w:hint="default"/>
      </w:rPr>
    </w:lvl>
  </w:abstractNum>
  <w:abstractNum w:abstractNumId="24">
    <w:nsid w:val="51241096"/>
    <w:multiLevelType w:val="hybridMultilevel"/>
    <w:tmpl w:val="000AF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4F71A6"/>
    <w:multiLevelType w:val="multilevel"/>
    <w:tmpl w:val="5FF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F06455"/>
    <w:multiLevelType w:val="hybridMultilevel"/>
    <w:tmpl w:val="E7DA1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4300720"/>
    <w:multiLevelType w:val="multilevel"/>
    <w:tmpl w:val="0420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702A1E"/>
    <w:multiLevelType w:val="hybridMultilevel"/>
    <w:tmpl w:val="FFDC2C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C9631E7"/>
    <w:multiLevelType w:val="hybridMultilevel"/>
    <w:tmpl w:val="3064B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CDC7CDC"/>
    <w:multiLevelType w:val="hybridMultilevel"/>
    <w:tmpl w:val="CCAA4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7A0049"/>
    <w:multiLevelType w:val="hybridMultilevel"/>
    <w:tmpl w:val="4B127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B2733C"/>
    <w:multiLevelType w:val="hybridMultilevel"/>
    <w:tmpl w:val="141AA3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8F014E"/>
    <w:multiLevelType w:val="hybridMultilevel"/>
    <w:tmpl w:val="AC782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8"/>
  </w:num>
  <w:num w:numId="4">
    <w:abstractNumId w:val="19"/>
  </w:num>
  <w:num w:numId="5">
    <w:abstractNumId w:val="30"/>
  </w:num>
  <w:num w:numId="6">
    <w:abstractNumId w:val="24"/>
  </w:num>
  <w:num w:numId="7">
    <w:abstractNumId w:val="17"/>
  </w:num>
  <w:num w:numId="8">
    <w:abstractNumId w:val="29"/>
  </w:num>
  <w:num w:numId="9">
    <w:abstractNumId w:val="7"/>
  </w:num>
  <w:num w:numId="10">
    <w:abstractNumId w:val="26"/>
  </w:num>
  <w:num w:numId="11">
    <w:abstractNumId w:val="2"/>
  </w:num>
  <w:num w:numId="12">
    <w:abstractNumId w:val="23"/>
  </w:num>
  <w:num w:numId="13">
    <w:abstractNumId w:val="21"/>
  </w:num>
  <w:num w:numId="14">
    <w:abstractNumId w:val="20"/>
  </w:num>
  <w:num w:numId="15">
    <w:abstractNumId w:val="3"/>
  </w:num>
  <w:num w:numId="16">
    <w:abstractNumId w:val="9"/>
  </w:num>
  <w:num w:numId="17">
    <w:abstractNumId w:val="18"/>
  </w:num>
  <w:num w:numId="18">
    <w:abstractNumId w:val="6"/>
  </w:num>
  <w:num w:numId="19">
    <w:abstractNumId w:val="22"/>
  </w:num>
  <w:num w:numId="20">
    <w:abstractNumId w:val="11"/>
  </w:num>
  <w:num w:numId="21">
    <w:abstractNumId w:val="13"/>
  </w:num>
  <w:num w:numId="22">
    <w:abstractNumId w:val="25"/>
  </w:num>
  <w:num w:numId="23">
    <w:abstractNumId w:val="1"/>
  </w:num>
  <w:num w:numId="24">
    <w:abstractNumId w:val="27"/>
  </w:num>
  <w:num w:numId="25">
    <w:abstractNumId w:val="5"/>
  </w:num>
  <w:num w:numId="26">
    <w:abstractNumId w:val="33"/>
  </w:num>
  <w:num w:numId="27">
    <w:abstractNumId w:val="31"/>
  </w:num>
  <w:num w:numId="28">
    <w:abstractNumId w:val="16"/>
  </w:num>
  <w:num w:numId="29">
    <w:abstractNumId w:val="4"/>
  </w:num>
  <w:num w:numId="30">
    <w:abstractNumId w:val="32"/>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6"/>
    </w:lvlOverride>
    <w:lvlOverride w:ilvl="1">
      <w:startOverride w:val="3"/>
    </w:lvlOverride>
  </w:num>
  <w:num w:numId="34">
    <w:abstractNumId w:val="0"/>
    <w:lvlOverride w:ilvl="0">
      <w:startOverride w:val="6"/>
    </w:lvlOverride>
    <w:lvlOverride w:ilvl="1">
      <w:startOverride w:val="3"/>
    </w:lvlOverride>
  </w:num>
  <w:num w:numId="35">
    <w:abstractNumId w:val="14"/>
  </w:num>
  <w:num w:numId="36">
    <w:abstractNumId w:val="12"/>
  </w:num>
  <w:num w:numId="37">
    <w:abstractNumId w:val="15"/>
  </w:num>
  <w:num w:numId="38">
    <w:abstractNumId w:val="0"/>
    <w:lvlOverride w:ilvl="0">
      <w:startOverride w:val="6"/>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47"/>
    <w:rsid w:val="00011087"/>
    <w:rsid w:val="000165E0"/>
    <w:rsid w:val="00031E13"/>
    <w:rsid w:val="00032910"/>
    <w:rsid w:val="0004079A"/>
    <w:rsid w:val="00056726"/>
    <w:rsid w:val="00064754"/>
    <w:rsid w:val="0006708F"/>
    <w:rsid w:val="000D4B6B"/>
    <w:rsid w:val="00124972"/>
    <w:rsid w:val="00150244"/>
    <w:rsid w:val="001516C4"/>
    <w:rsid w:val="0019420D"/>
    <w:rsid w:val="001E08D3"/>
    <w:rsid w:val="00200EDE"/>
    <w:rsid w:val="002206BA"/>
    <w:rsid w:val="00235501"/>
    <w:rsid w:val="0023588F"/>
    <w:rsid w:val="002432DF"/>
    <w:rsid w:val="00257709"/>
    <w:rsid w:val="00261499"/>
    <w:rsid w:val="00267E6C"/>
    <w:rsid w:val="00271827"/>
    <w:rsid w:val="00284C51"/>
    <w:rsid w:val="00287CA8"/>
    <w:rsid w:val="00292C87"/>
    <w:rsid w:val="002E5F43"/>
    <w:rsid w:val="002F14DB"/>
    <w:rsid w:val="003003A8"/>
    <w:rsid w:val="00304160"/>
    <w:rsid w:val="00334E80"/>
    <w:rsid w:val="00350A77"/>
    <w:rsid w:val="00351631"/>
    <w:rsid w:val="00357309"/>
    <w:rsid w:val="00362F80"/>
    <w:rsid w:val="003964DB"/>
    <w:rsid w:val="003A7D65"/>
    <w:rsid w:val="003C76C0"/>
    <w:rsid w:val="003D2625"/>
    <w:rsid w:val="003E5A76"/>
    <w:rsid w:val="003F5D4D"/>
    <w:rsid w:val="00416042"/>
    <w:rsid w:val="004212E1"/>
    <w:rsid w:val="00432A64"/>
    <w:rsid w:val="00445B26"/>
    <w:rsid w:val="00446EDC"/>
    <w:rsid w:val="004A49E5"/>
    <w:rsid w:val="004E08EA"/>
    <w:rsid w:val="004E0C56"/>
    <w:rsid w:val="005240B3"/>
    <w:rsid w:val="00547168"/>
    <w:rsid w:val="00554279"/>
    <w:rsid w:val="00581FB5"/>
    <w:rsid w:val="005954BA"/>
    <w:rsid w:val="005A004F"/>
    <w:rsid w:val="005A0633"/>
    <w:rsid w:val="005B07BE"/>
    <w:rsid w:val="005B31E1"/>
    <w:rsid w:val="005C6DB4"/>
    <w:rsid w:val="006064B1"/>
    <w:rsid w:val="00630FEB"/>
    <w:rsid w:val="006519FF"/>
    <w:rsid w:val="006628E1"/>
    <w:rsid w:val="006F03B2"/>
    <w:rsid w:val="006F5335"/>
    <w:rsid w:val="00710C7C"/>
    <w:rsid w:val="0071287B"/>
    <w:rsid w:val="00724FDA"/>
    <w:rsid w:val="007260DE"/>
    <w:rsid w:val="007470A0"/>
    <w:rsid w:val="007538BE"/>
    <w:rsid w:val="0077411E"/>
    <w:rsid w:val="007858C3"/>
    <w:rsid w:val="00786443"/>
    <w:rsid w:val="007943A4"/>
    <w:rsid w:val="007B2698"/>
    <w:rsid w:val="007D07F5"/>
    <w:rsid w:val="007D33AF"/>
    <w:rsid w:val="007F75A0"/>
    <w:rsid w:val="0082465D"/>
    <w:rsid w:val="0084795F"/>
    <w:rsid w:val="00850864"/>
    <w:rsid w:val="00860543"/>
    <w:rsid w:val="00886062"/>
    <w:rsid w:val="008A5319"/>
    <w:rsid w:val="008B0325"/>
    <w:rsid w:val="008B7B40"/>
    <w:rsid w:val="008D3DE8"/>
    <w:rsid w:val="008F65D9"/>
    <w:rsid w:val="00905933"/>
    <w:rsid w:val="009219CE"/>
    <w:rsid w:val="0093387E"/>
    <w:rsid w:val="00953859"/>
    <w:rsid w:val="00995B67"/>
    <w:rsid w:val="009C4217"/>
    <w:rsid w:val="009C4D64"/>
    <w:rsid w:val="009C641A"/>
    <w:rsid w:val="009E0F09"/>
    <w:rsid w:val="009F2C5B"/>
    <w:rsid w:val="009F6C8E"/>
    <w:rsid w:val="00A02A00"/>
    <w:rsid w:val="00A037CD"/>
    <w:rsid w:val="00A14C60"/>
    <w:rsid w:val="00A2268E"/>
    <w:rsid w:val="00A37A78"/>
    <w:rsid w:val="00A7116E"/>
    <w:rsid w:val="00AD744B"/>
    <w:rsid w:val="00AF6592"/>
    <w:rsid w:val="00B06610"/>
    <w:rsid w:val="00B35A86"/>
    <w:rsid w:val="00B37225"/>
    <w:rsid w:val="00B4243F"/>
    <w:rsid w:val="00B47059"/>
    <w:rsid w:val="00B5601A"/>
    <w:rsid w:val="00B70B76"/>
    <w:rsid w:val="00B83D90"/>
    <w:rsid w:val="00BA5A00"/>
    <w:rsid w:val="00BB1709"/>
    <w:rsid w:val="00BB773A"/>
    <w:rsid w:val="00BC0B2A"/>
    <w:rsid w:val="00BC363C"/>
    <w:rsid w:val="00BC7393"/>
    <w:rsid w:val="00BF7BEB"/>
    <w:rsid w:val="00C07C0B"/>
    <w:rsid w:val="00C116A7"/>
    <w:rsid w:val="00C40721"/>
    <w:rsid w:val="00C47C22"/>
    <w:rsid w:val="00C55FD7"/>
    <w:rsid w:val="00CD1F9B"/>
    <w:rsid w:val="00CF388D"/>
    <w:rsid w:val="00CF4B11"/>
    <w:rsid w:val="00D02019"/>
    <w:rsid w:val="00D16D7F"/>
    <w:rsid w:val="00D44FF6"/>
    <w:rsid w:val="00D5587B"/>
    <w:rsid w:val="00D62518"/>
    <w:rsid w:val="00D65124"/>
    <w:rsid w:val="00DA321B"/>
    <w:rsid w:val="00DD0A49"/>
    <w:rsid w:val="00E06B67"/>
    <w:rsid w:val="00E11683"/>
    <w:rsid w:val="00E1495D"/>
    <w:rsid w:val="00E23133"/>
    <w:rsid w:val="00E35F2A"/>
    <w:rsid w:val="00E45AD6"/>
    <w:rsid w:val="00E543A5"/>
    <w:rsid w:val="00E571BC"/>
    <w:rsid w:val="00E8215E"/>
    <w:rsid w:val="00ED1FAF"/>
    <w:rsid w:val="00EF2547"/>
    <w:rsid w:val="00F12304"/>
    <w:rsid w:val="00F3188F"/>
    <w:rsid w:val="00F63FE9"/>
    <w:rsid w:val="00F72236"/>
    <w:rsid w:val="00F825A5"/>
    <w:rsid w:val="00F96E60"/>
    <w:rsid w:val="00FA0A3A"/>
    <w:rsid w:val="00FC5DF2"/>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47"/>
    <w:rPr>
      <w:rFonts w:ascii="Arial" w:hAnsi="Arial"/>
      <w:sz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PlainText">
    <w:name w:val="Plain Text"/>
    <w:basedOn w:val="Normal"/>
    <w:link w:val="PlainTextChar"/>
    <w:uiPriority w:val="99"/>
    <w:unhideWhenUsed/>
    <w:rsid w:val="00ED1FAF"/>
    <w:rPr>
      <w:rFonts w:ascii="Consolas" w:eastAsia="Calibri" w:hAnsi="Consolas" w:cs="Times New Roman"/>
      <w:sz w:val="21"/>
      <w:szCs w:val="21"/>
      <w:lang w:val="en-AU" w:eastAsia="en-AU"/>
    </w:rPr>
  </w:style>
  <w:style w:type="character" w:customStyle="1" w:styleId="PlainTextChar">
    <w:name w:val="Plain Text Char"/>
    <w:basedOn w:val="DefaultParagraphFont"/>
    <w:link w:val="PlainText"/>
    <w:uiPriority w:val="99"/>
    <w:rsid w:val="00ED1FAF"/>
    <w:rPr>
      <w:rFonts w:ascii="Consolas" w:eastAsia="Calibri" w:hAnsi="Consolas" w:cs="Times New Roman"/>
      <w:sz w:val="21"/>
      <w:szCs w:val="21"/>
      <w:lang w:val="en-AU" w:eastAsia="en-AU"/>
    </w:rPr>
  </w:style>
  <w:style w:type="table" w:styleId="TableGrid">
    <w:name w:val="Table Grid"/>
    <w:basedOn w:val="TableNormal"/>
    <w:uiPriority w:val="39"/>
    <w:rsid w:val="00C4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4DB"/>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D62518"/>
    <w:rPr>
      <w:sz w:val="16"/>
      <w:szCs w:val="16"/>
    </w:rPr>
  </w:style>
  <w:style w:type="paragraph" w:styleId="CommentText">
    <w:name w:val="annotation text"/>
    <w:basedOn w:val="Normal"/>
    <w:link w:val="CommentTextChar"/>
    <w:uiPriority w:val="99"/>
    <w:semiHidden/>
    <w:unhideWhenUsed/>
    <w:rsid w:val="00D62518"/>
    <w:rPr>
      <w:szCs w:val="20"/>
    </w:rPr>
  </w:style>
  <w:style w:type="character" w:customStyle="1" w:styleId="CommentTextChar">
    <w:name w:val="Comment Text Char"/>
    <w:basedOn w:val="DefaultParagraphFont"/>
    <w:link w:val="CommentText"/>
    <w:uiPriority w:val="99"/>
    <w:semiHidden/>
    <w:rsid w:val="00D625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2518"/>
    <w:rPr>
      <w:b/>
      <w:bCs/>
    </w:rPr>
  </w:style>
  <w:style w:type="character" w:customStyle="1" w:styleId="CommentSubjectChar">
    <w:name w:val="Comment Subject Char"/>
    <w:basedOn w:val="CommentTextChar"/>
    <w:link w:val="CommentSubject"/>
    <w:uiPriority w:val="99"/>
    <w:semiHidden/>
    <w:rsid w:val="00D62518"/>
    <w:rPr>
      <w:rFonts w:ascii="Arial" w:hAnsi="Arial"/>
      <w:b/>
      <w:bCs/>
      <w:sz w:val="20"/>
      <w:szCs w:val="20"/>
    </w:rPr>
  </w:style>
  <w:style w:type="paragraph" w:styleId="BalloonText">
    <w:name w:val="Balloon Text"/>
    <w:basedOn w:val="Normal"/>
    <w:link w:val="BalloonTextChar"/>
    <w:uiPriority w:val="99"/>
    <w:semiHidden/>
    <w:unhideWhenUsed/>
    <w:rsid w:val="00D62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18"/>
    <w:rPr>
      <w:rFonts w:ascii="Segoe UI" w:hAnsi="Segoe UI" w:cs="Segoe UI"/>
      <w:sz w:val="18"/>
      <w:szCs w:val="18"/>
    </w:rPr>
  </w:style>
  <w:style w:type="paragraph" w:styleId="Header">
    <w:name w:val="header"/>
    <w:basedOn w:val="Normal"/>
    <w:link w:val="HeaderChar"/>
    <w:uiPriority w:val="99"/>
    <w:unhideWhenUsed/>
    <w:rsid w:val="0082465D"/>
    <w:pPr>
      <w:tabs>
        <w:tab w:val="center" w:pos="4513"/>
        <w:tab w:val="right" w:pos="9026"/>
      </w:tabs>
    </w:pPr>
  </w:style>
  <w:style w:type="character" w:customStyle="1" w:styleId="HeaderChar">
    <w:name w:val="Header Char"/>
    <w:basedOn w:val="DefaultParagraphFont"/>
    <w:link w:val="Header"/>
    <w:uiPriority w:val="99"/>
    <w:rsid w:val="0082465D"/>
    <w:rPr>
      <w:rFonts w:ascii="Arial" w:hAnsi="Arial"/>
      <w:sz w:val="20"/>
    </w:rPr>
  </w:style>
  <w:style w:type="paragraph" w:styleId="Footer">
    <w:name w:val="footer"/>
    <w:basedOn w:val="Normal"/>
    <w:link w:val="FooterChar"/>
    <w:uiPriority w:val="99"/>
    <w:unhideWhenUsed/>
    <w:rsid w:val="0082465D"/>
    <w:pPr>
      <w:tabs>
        <w:tab w:val="center" w:pos="4513"/>
        <w:tab w:val="right" w:pos="9026"/>
      </w:tabs>
    </w:pPr>
  </w:style>
  <w:style w:type="character" w:customStyle="1" w:styleId="FooterChar">
    <w:name w:val="Footer Char"/>
    <w:basedOn w:val="DefaultParagraphFont"/>
    <w:link w:val="Footer"/>
    <w:uiPriority w:val="99"/>
    <w:rsid w:val="0082465D"/>
    <w:rPr>
      <w:rFonts w:ascii="Arial" w:hAnsi="Arial"/>
      <w:sz w:val="20"/>
    </w:rPr>
  </w:style>
  <w:style w:type="paragraph" w:customStyle="1" w:styleId="Headingpara2">
    <w:name w:val="Headingpara2"/>
    <w:basedOn w:val="Heading2"/>
    <w:qFormat/>
    <w:rsid w:val="00032910"/>
    <w:pPr>
      <w:keepNext w:val="0"/>
      <w:keepLines w:val="0"/>
      <w:numPr>
        <w:ilvl w:val="1"/>
      </w:numPr>
      <w:spacing w:before="240"/>
      <w:ind w:left="851" w:hanging="851"/>
    </w:pPr>
    <w:rPr>
      <w:rFonts w:ascii="Arial" w:eastAsia="Times New Roman" w:hAnsi="Arial" w:cstheme="minorBidi"/>
      <w:color w:val="auto"/>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47"/>
    <w:rPr>
      <w:rFonts w:ascii="Arial" w:hAnsi="Arial"/>
      <w:sz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PlainText">
    <w:name w:val="Plain Text"/>
    <w:basedOn w:val="Normal"/>
    <w:link w:val="PlainTextChar"/>
    <w:uiPriority w:val="99"/>
    <w:unhideWhenUsed/>
    <w:rsid w:val="00ED1FAF"/>
    <w:rPr>
      <w:rFonts w:ascii="Consolas" w:eastAsia="Calibri" w:hAnsi="Consolas" w:cs="Times New Roman"/>
      <w:sz w:val="21"/>
      <w:szCs w:val="21"/>
      <w:lang w:val="en-AU" w:eastAsia="en-AU"/>
    </w:rPr>
  </w:style>
  <w:style w:type="character" w:customStyle="1" w:styleId="PlainTextChar">
    <w:name w:val="Plain Text Char"/>
    <w:basedOn w:val="DefaultParagraphFont"/>
    <w:link w:val="PlainText"/>
    <w:uiPriority w:val="99"/>
    <w:rsid w:val="00ED1FAF"/>
    <w:rPr>
      <w:rFonts w:ascii="Consolas" w:eastAsia="Calibri" w:hAnsi="Consolas" w:cs="Times New Roman"/>
      <w:sz w:val="21"/>
      <w:szCs w:val="21"/>
      <w:lang w:val="en-AU" w:eastAsia="en-AU"/>
    </w:rPr>
  </w:style>
  <w:style w:type="table" w:styleId="TableGrid">
    <w:name w:val="Table Grid"/>
    <w:basedOn w:val="TableNormal"/>
    <w:uiPriority w:val="39"/>
    <w:rsid w:val="00C4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64DB"/>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D62518"/>
    <w:rPr>
      <w:sz w:val="16"/>
      <w:szCs w:val="16"/>
    </w:rPr>
  </w:style>
  <w:style w:type="paragraph" w:styleId="CommentText">
    <w:name w:val="annotation text"/>
    <w:basedOn w:val="Normal"/>
    <w:link w:val="CommentTextChar"/>
    <w:uiPriority w:val="99"/>
    <w:semiHidden/>
    <w:unhideWhenUsed/>
    <w:rsid w:val="00D62518"/>
    <w:rPr>
      <w:szCs w:val="20"/>
    </w:rPr>
  </w:style>
  <w:style w:type="character" w:customStyle="1" w:styleId="CommentTextChar">
    <w:name w:val="Comment Text Char"/>
    <w:basedOn w:val="DefaultParagraphFont"/>
    <w:link w:val="CommentText"/>
    <w:uiPriority w:val="99"/>
    <w:semiHidden/>
    <w:rsid w:val="00D625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2518"/>
    <w:rPr>
      <w:b/>
      <w:bCs/>
    </w:rPr>
  </w:style>
  <w:style w:type="character" w:customStyle="1" w:styleId="CommentSubjectChar">
    <w:name w:val="Comment Subject Char"/>
    <w:basedOn w:val="CommentTextChar"/>
    <w:link w:val="CommentSubject"/>
    <w:uiPriority w:val="99"/>
    <w:semiHidden/>
    <w:rsid w:val="00D62518"/>
    <w:rPr>
      <w:rFonts w:ascii="Arial" w:hAnsi="Arial"/>
      <w:b/>
      <w:bCs/>
      <w:sz w:val="20"/>
      <w:szCs w:val="20"/>
    </w:rPr>
  </w:style>
  <w:style w:type="paragraph" w:styleId="BalloonText">
    <w:name w:val="Balloon Text"/>
    <w:basedOn w:val="Normal"/>
    <w:link w:val="BalloonTextChar"/>
    <w:uiPriority w:val="99"/>
    <w:semiHidden/>
    <w:unhideWhenUsed/>
    <w:rsid w:val="00D62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18"/>
    <w:rPr>
      <w:rFonts w:ascii="Segoe UI" w:hAnsi="Segoe UI" w:cs="Segoe UI"/>
      <w:sz w:val="18"/>
      <w:szCs w:val="18"/>
    </w:rPr>
  </w:style>
  <w:style w:type="paragraph" w:styleId="Header">
    <w:name w:val="header"/>
    <w:basedOn w:val="Normal"/>
    <w:link w:val="HeaderChar"/>
    <w:uiPriority w:val="99"/>
    <w:unhideWhenUsed/>
    <w:rsid w:val="0082465D"/>
    <w:pPr>
      <w:tabs>
        <w:tab w:val="center" w:pos="4513"/>
        <w:tab w:val="right" w:pos="9026"/>
      </w:tabs>
    </w:pPr>
  </w:style>
  <w:style w:type="character" w:customStyle="1" w:styleId="HeaderChar">
    <w:name w:val="Header Char"/>
    <w:basedOn w:val="DefaultParagraphFont"/>
    <w:link w:val="Header"/>
    <w:uiPriority w:val="99"/>
    <w:rsid w:val="0082465D"/>
    <w:rPr>
      <w:rFonts w:ascii="Arial" w:hAnsi="Arial"/>
      <w:sz w:val="20"/>
    </w:rPr>
  </w:style>
  <w:style w:type="paragraph" w:styleId="Footer">
    <w:name w:val="footer"/>
    <w:basedOn w:val="Normal"/>
    <w:link w:val="FooterChar"/>
    <w:uiPriority w:val="99"/>
    <w:unhideWhenUsed/>
    <w:rsid w:val="0082465D"/>
    <w:pPr>
      <w:tabs>
        <w:tab w:val="center" w:pos="4513"/>
        <w:tab w:val="right" w:pos="9026"/>
      </w:tabs>
    </w:pPr>
  </w:style>
  <w:style w:type="character" w:customStyle="1" w:styleId="FooterChar">
    <w:name w:val="Footer Char"/>
    <w:basedOn w:val="DefaultParagraphFont"/>
    <w:link w:val="Footer"/>
    <w:uiPriority w:val="99"/>
    <w:rsid w:val="0082465D"/>
    <w:rPr>
      <w:rFonts w:ascii="Arial" w:hAnsi="Arial"/>
      <w:sz w:val="20"/>
    </w:rPr>
  </w:style>
  <w:style w:type="paragraph" w:customStyle="1" w:styleId="Headingpara2">
    <w:name w:val="Headingpara2"/>
    <w:basedOn w:val="Heading2"/>
    <w:qFormat/>
    <w:rsid w:val="00032910"/>
    <w:pPr>
      <w:keepNext w:val="0"/>
      <w:keepLines w:val="0"/>
      <w:numPr>
        <w:ilvl w:val="1"/>
      </w:numPr>
      <w:spacing w:before="240"/>
      <w:ind w:left="851" w:hanging="851"/>
    </w:pPr>
    <w:rPr>
      <w:rFonts w:ascii="Arial" w:eastAsia="Times New Roman" w:hAnsi="Arial" w:cstheme="minorBidi"/>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6430">
      <w:bodyDiv w:val="1"/>
      <w:marLeft w:val="0"/>
      <w:marRight w:val="0"/>
      <w:marTop w:val="0"/>
      <w:marBottom w:val="0"/>
      <w:divBdr>
        <w:top w:val="none" w:sz="0" w:space="0" w:color="auto"/>
        <w:left w:val="none" w:sz="0" w:space="0" w:color="auto"/>
        <w:bottom w:val="none" w:sz="0" w:space="0" w:color="auto"/>
        <w:right w:val="none" w:sz="0" w:space="0" w:color="auto"/>
      </w:divBdr>
      <w:divsChild>
        <w:div w:id="1138373790">
          <w:marLeft w:val="0"/>
          <w:marRight w:val="0"/>
          <w:marTop w:val="240"/>
          <w:marBottom w:val="480"/>
          <w:divBdr>
            <w:top w:val="none" w:sz="0" w:space="0" w:color="auto"/>
            <w:left w:val="none" w:sz="0" w:space="0" w:color="auto"/>
            <w:bottom w:val="none" w:sz="0" w:space="0" w:color="auto"/>
            <w:right w:val="none" w:sz="0" w:space="0" w:color="auto"/>
          </w:divBdr>
          <w:divsChild>
            <w:div w:id="1343817637">
              <w:marLeft w:val="0"/>
              <w:marRight w:val="0"/>
              <w:marTop w:val="0"/>
              <w:marBottom w:val="0"/>
              <w:divBdr>
                <w:top w:val="none" w:sz="0" w:space="0" w:color="auto"/>
                <w:left w:val="none" w:sz="0" w:space="0" w:color="auto"/>
                <w:bottom w:val="none" w:sz="0" w:space="0" w:color="auto"/>
                <w:right w:val="none" w:sz="0" w:space="0" w:color="auto"/>
              </w:divBdr>
              <w:divsChild>
                <w:div w:id="1605842076">
                  <w:marLeft w:val="0"/>
                  <w:marRight w:val="0"/>
                  <w:marTop w:val="0"/>
                  <w:marBottom w:val="0"/>
                  <w:divBdr>
                    <w:top w:val="none" w:sz="0" w:space="0" w:color="auto"/>
                    <w:left w:val="none" w:sz="0" w:space="0" w:color="auto"/>
                    <w:bottom w:val="none" w:sz="0" w:space="0" w:color="auto"/>
                    <w:right w:val="none" w:sz="0" w:space="0" w:color="auto"/>
                  </w:divBdr>
                  <w:divsChild>
                    <w:div w:id="540166885">
                      <w:marLeft w:val="0"/>
                      <w:marRight w:val="0"/>
                      <w:marTop w:val="0"/>
                      <w:marBottom w:val="0"/>
                      <w:divBdr>
                        <w:top w:val="none" w:sz="0" w:space="0" w:color="auto"/>
                        <w:left w:val="none" w:sz="0" w:space="0" w:color="auto"/>
                        <w:bottom w:val="none" w:sz="0" w:space="0" w:color="auto"/>
                        <w:right w:val="none" w:sz="0" w:space="0" w:color="auto"/>
                      </w:divBdr>
                      <w:divsChild>
                        <w:div w:id="3691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8D27-5CD9-431D-81B2-67A248A6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2016-04-19T04:16:00Z</dcterms:created>
  <dcterms:modified xsi:type="dcterms:W3CDTF">2016-04-19T04:16:00Z</dcterms:modified>
  <cp:version/>
</cp:coreProperties>
</file>